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1D8" w:rsidRDefault="003B6F9E">
      <w:pPr>
        <w:tabs>
          <w:tab w:val="left" w:pos="1600"/>
        </w:tabs>
      </w:pPr>
      <w:r>
        <w:rPr>
          <w:rFonts w:ascii="Arial Narrow" w:hAnsi="Arial Narrow"/>
          <w:lang w:val="es-ES"/>
        </w:rPr>
        <w:t xml:space="preserve"> </w:t>
      </w:r>
    </w:p>
    <w:tbl>
      <w:tblPr>
        <w:tblW w:w="9632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8"/>
        <w:gridCol w:w="2641"/>
        <w:gridCol w:w="3003"/>
        <w:gridCol w:w="2810"/>
      </w:tblGrid>
      <w:tr w:rsidR="001C51D8">
        <w:tc>
          <w:tcPr>
            <w:tcW w:w="1177" w:type="dxa"/>
            <w:shd w:val="clear" w:color="auto" w:fill="FFFFFF"/>
          </w:tcPr>
          <w:p w:rsidR="001C51D8" w:rsidRDefault="001C51D8">
            <w:pPr>
              <w:pStyle w:val="Contenidodelatabla"/>
              <w:snapToGrid w:val="0"/>
            </w:pP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Realizado p/</w:t>
            </w:r>
          </w:p>
        </w:tc>
        <w:tc>
          <w:tcPr>
            <w:tcW w:w="30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CCCCCC"/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Revisado p/</w:t>
            </w: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52" w:type="dxa"/>
            </w:tcMar>
          </w:tcPr>
          <w:p w:rsidR="001C51D8" w:rsidRDefault="003B6F9E">
            <w:pPr>
              <w:pStyle w:val="Contenidodelatabla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>Aprobado p/</w:t>
            </w:r>
          </w:p>
        </w:tc>
      </w:tr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Nombre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José Santiago-Rossana Astesiano-Verónica Miranda- Paula Parnizzari- Mariana Seija  </w:t>
            </w: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Marcelo Nin</w:t>
            </w:r>
          </w:p>
        </w:tc>
      </w:tr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Cargo 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Nefrólogo R Trasplante- Nefrólogo R Trasplante-Grado 3</w:t>
            </w: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Grado 4</w:t>
            </w:r>
          </w:p>
        </w:tc>
      </w:tr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Firma 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1.3.2020</w:t>
            </w: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snapToGrid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>23.3.2020</w:t>
            </w:r>
          </w:p>
        </w:tc>
      </w:tr>
    </w:tbl>
    <w:p w:rsidR="001C51D8" w:rsidRDefault="001C51D8"/>
    <w:p w:rsidR="001C51D8" w:rsidRDefault="001C51D8">
      <w:pPr>
        <w:rPr>
          <w:rFonts w:ascii="Arial Narrow" w:hAnsi="Arial Narrow" w:cs="Arial Narrow"/>
          <w:sz w:val="20"/>
          <w:szCs w:val="20"/>
        </w:rPr>
      </w:pPr>
    </w:p>
    <w:p w:rsidR="001C51D8" w:rsidRDefault="003B6F9E">
      <w:pPr>
        <w:numPr>
          <w:ilvl w:val="0"/>
          <w:numId w:val="2"/>
        </w:numPr>
        <w:spacing w:after="240" w:line="276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Objetivo: </w:t>
      </w:r>
      <w:r>
        <w:rPr>
          <w:rFonts w:ascii="Arial Narrow" w:hAnsi="Arial Narrow" w:cs="Arial Narrow"/>
          <w:sz w:val="20"/>
          <w:szCs w:val="20"/>
        </w:rPr>
        <w:t xml:space="preserve">Recomendaciones para el manejo perioperatorio del trasplante renal </w:t>
      </w:r>
    </w:p>
    <w:p w:rsidR="001C51D8" w:rsidRDefault="003B6F9E">
      <w:pPr>
        <w:numPr>
          <w:ilvl w:val="0"/>
          <w:numId w:val="2"/>
        </w:numPr>
        <w:spacing w:after="240" w:line="276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Alcance: </w:t>
      </w:r>
      <w:r>
        <w:rPr>
          <w:rFonts w:ascii="Arial Narrow" w:hAnsi="Arial Narrow" w:cs="Arial Narrow"/>
          <w:sz w:val="20"/>
          <w:szCs w:val="20"/>
        </w:rPr>
        <w:t xml:space="preserve">Pacientes que ingresan a Sala de Trasplante luego de la realización de Trasplante renal. </w:t>
      </w:r>
    </w:p>
    <w:p w:rsidR="001C51D8" w:rsidRDefault="003B6F9E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Siglas/Abreviaturas - </w:t>
      </w:r>
    </w:p>
    <w:p w:rsidR="001C51D8" w:rsidRDefault="003B6F9E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Definiciones </w:t>
      </w:r>
    </w:p>
    <w:p w:rsidR="001C51D8" w:rsidRDefault="003B6F9E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Responsable: </w:t>
      </w:r>
      <w:r>
        <w:rPr>
          <w:rFonts w:ascii="Arial Narrow" w:hAnsi="Arial Narrow" w:cs="Arial Narrow"/>
          <w:sz w:val="20"/>
          <w:szCs w:val="20"/>
        </w:rPr>
        <w:t xml:space="preserve">Nefólogo de Unidad de Trasplante y </w:t>
      </w:r>
    </w:p>
    <w:p w:rsidR="001C51D8" w:rsidRDefault="003B6F9E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RRHH: </w:t>
      </w:r>
      <w:r>
        <w:rPr>
          <w:rFonts w:ascii="Arial Narrow" w:hAnsi="Arial Narrow" w:cs="Arial Narrow"/>
          <w:sz w:val="20"/>
          <w:szCs w:val="20"/>
        </w:rPr>
        <w:t>Equipo docente/asistencial. Prof Agdo, Prof Adjo, Asistentes, Residentes/Posgrados. Nefrologo Trasplante</w:t>
      </w:r>
    </w:p>
    <w:p w:rsidR="001C51D8" w:rsidRDefault="003B6F9E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Descripción</w:t>
      </w: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Monitorización ECG, presión arterial, PVC, saturación de oxígeno, diuresis y glicemia capilar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u w:val="single"/>
          <w:lang w:val="en-US" w:eastAsia="en-US" w:bidi="ar-SA"/>
        </w:rPr>
        <w:t xml:space="preserve">Monitoreo hemodinámico 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del paciente posterior al trasplante es vital porque las alteraciones pueden representar amenazas para el paciente o el injerto. Se debe evitar la hipovolemia que puede predisponer a la lesión aguda isquémica, la isquemia coronaria y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la trombosis. La sobrecarga de volumen puede determina  edema agudo pulmonar Los parámetros que deben mantenerse en el receptor durante son PA &gt; 120/85 mmHg y PVC &gt; 10 mmHg  para asegurar una perfusión óptima del injerto y la recuperación rápida de la fun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ción renal</w:t>
      </w:r>
      <w:r>
        <w:rPr>
          <w:rFonts w:ascii="Arial Narrow" w:hAnsi="Arial Narrow" w:cs="Arial"/>
          <w:sz w:val="22"/>
          <w:szCs w:val="22"/>
          <w:lang w:val="es-AR"/>
        </w:rPr>
        <w:t xml:space="preserve"> 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Monitoreo de la diuresis. Se debe realizar monitoreo de la diuresis ya que el paciente puede presentar anuria o poliuria dependiendo de la evolución clínica. </w:t>
      </w:r>
    </w:p>
    <w:p w:rsidR="001C51D8" w:rsidRDefault="001C51D8">
      <w:pPr>
        <w:widowControl/>
        <w:suppressAutoHyphens w:val="0"/>
        <w:spacing w:line="276" w:lineRule="auto"/>
        <w:ind w:left="1440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hAnsi="Arial Narrow" w:cs="Arial"/>
          <w:b/>
          <w:bCs/>
          <w:sz w:val="22"/>
          <w:szCs w:val="22"/>
          <w:lang w:val="es-AR"/>
        </w:rPr>
        <w:t>Solicitud de exámenes</w:t>
      </w:r>
      <w:r>
        <w:rPr>
          <w:rFonts w:ascii="Arial Narrow" w:hAnsi="Arial Narrow" w:cs="Arial"/>
          <w:sz w:val="22"/>
          <w:szCs w:val="22"/>
          <w:lang w:val="es-AR"/>
        </w:rPr>
        <w:t>: al ingreso hemograma, ionograma y gasometría. Rx tórax para c</w:t>
      </w:r>
      <w:r>
        <w:rPr>
          <w:rFonts w:ascii="Arial Narrow" w:hAnsi="Arial Narrow" w:cs="Arial"/>
          <w:sz w:val="22"/>
          <w:szCs w:val="22"/>
          <w:lang w:val="es-AR"/>
        </w:rPr>
        <w:t>omprobar complicaciones con la vía venosa central. Repetir hemograma y ionograma cada 8 horas en las primeras 24 horas, o según situación clínica. Se solicita crasis si presenta sangrado.</w:t>
      </w:r>
    </w:p>
    <w:p w:rsidR="001C51D8" w:rsidRDefault="001C51D8">
      <w:pPr>
        <w:widowControl/>
        <w:suppressAutoHyphens w:val="0"/>
        <w:spacing w:line="276" w:lineRule="auto"/>
        <w:ind w:left="720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hAnsi="Arial Narrow" w:cs="Arial"/>
          <w:b/>
          <w:bCs/>
          <w:sz w:val="22"/>
          <w:szCs w:val="22"/>
          <w:lang w:val="es-AR"/>
        </w:rPr>
        <w:t>Chequear el protocolo quirúrgico y anestésico de la cirugía</w:t>
      </w:r>
      <w:r>
        <w:rPr>
          <w:rFonts w:ascii="Arial Narrow" w:hAnsi="Arial Narrow" w:cs="Arial"/>
          <w:sz w:val="22"/>
          <w:szCs w:val="22"/>
          <w:lang w:val="es-AR"/>
        </w:rPr>
        <w:t xml:space="preserve">. 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Es fun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damental conocer los eventos intraoperatorios : duración, balance hídrico, administración de fármacos, episodios de hipotensión, arritmias, saturación de oxígeno, disionías, sangrados y la necesidad de transfusión de sangre o plasma fresco. Del protocolo q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uirúrgico se describe la cirugía de banco, anastomosis vascular, tiempos de isquemia, anastomosis urinaria y uso de catéter JJ), características del del riñón tras el declampeo vascular (color, turgencia), la presencia de diuresis intraoperatoria y las car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acterísticas macroscópicas de los vasos del donante.</w:t>
      </w: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hAnsi="Arial Narrow" w:cs="Arial"/>
          <w:b/>
          <w:bCs/>
          <w:sz w:val="22"/>
          <w:szCs w:val="22"/>
          <w:lang w:val="es-AR"/>
        </w:rPr>
        <w:lastRenderedPageBreak/>
        <w:t>Fluidoterapia y reposición hidroelectrolítica</w:t>
      </w:r>
      <w:r>
        <w:rPr>
          <w:rFonts w:ascii="Arial Narrow" w:hAnsi="Arial Narrow" w:cs="Arial"/>
          <w:sz w:val="22"/>
          <w:szCs w:val="22"/>
          <w:lang w:val="es-AR"/>
        </w:rPr>
        <w:t xml:space="preserve"> El manejo de la fluidoterapia inicial es fundamental para evitar nueva injuria isquémica. Si el paciente presenta diuresis, se valorará eñ estado de la volem</w:t>
      </w:r>
      <w:r>
        <w:rPr>
          <w:rFonts w:ascii="Arial Narrow" w:hAnsi="Arial Narrow" w:cs="Arial"/>
          <w:sz w:val="22"/>
          <w:szCs w:val="22"/>
          <w:lang w:val="es-AR"/>
        </w:rPr>
        <w:t xml:space="preserve">ia. En caso de PA &lt; 130/85 mmHg y PVC &lt; 10 cmde H2o Se realizarán cargas de suero fisiológico. Se continuará con la reposición alternando suero glucofisio y fisiológico. Según figura 1. </w:t>
      </w:r>
      <w:r>
        <w:rPr>
          <w:rFonts w:ascii="Arial Narrow" w:hAnsi="Arial Narrow" w:cs="Arial"/>
          <w:sz w:val="22"/>
          <w:szCs w:val="22"/>
          <w:lang w:val="en-US"/>
        </w:rPr>
        <w:t>Es fundamental para evitar agregar más lesiones isquémicas al órgano t</w:t>
      </w:r>
      <w:r>
        <w:rPr>
          <w:rFonts w:ascii="Arial Narrow" w:hAnsi="Arial Narrow" w:cs="Arial"/>
          <w:sz w:val="22"/>
          <w:szCs w:val="22"/>
          <w:lang w:val="en-US"/>
        </w:rPr>
        <w:t>rasplantado. Las soluciones más utilizadas son el suero salino 0.9% y el suero glucofisio.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en-US"/>
        </w:rPr>
        <w:t xml:space="preserve">El balance hídrico inicial debe mantenerse de neutro a ligeramente positivo. No realizar reposición de potasio de rutina, ajustar al ionograma. </w:t>
      </w:r>
    </w:p>
    <w:p w:rsidR="001C51D8" w:rsidRDefault="001C51D8">
      <w:pPr>
        <w:widowControl/>
        <w:suppressAutoHyphens w:val="0"/>
        <w:spacing w:line="276" w:lineRule="auto"/>
        <w:ind w:left="720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 xml:space="preserve">Oligoanuria. 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En ca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so de anuria se debe comprobar la permeabilidad de la sonda vesical, la presión arterial la PVC y el balance de líquidos. </w:t>
      </w:r>
      <w:r>
        <w:rPr>
          <w:rFonts w:ascii="Arial Narrow" w:hAnsi="Arial Narrow" w:cs="Arial"/>
          <w:sz w:val="22"/>
          <w:szCs w:val="22"/>
          <w:lang w:val="es-AR"/>
        </w:rPr>
        <w:t>En caso de seguir sin diuresis luego de la carga de fluidos inicial y en sitación de euvolemia, se realizará bolo de furosemide 100 mg</w:t>
      </w:r>
      <w:r>
        <w:rPr>
          <w:rFonts w:ascii="Arial Narrow" w:hAnsi="Arial Narrow" w:cs="Arial"/>
          <w:sz w:val="22"/>
          <w:szCs w:val="22"/>
          <w:lang w:val="es-AR"/>
        </w:rPr>
        <w:t xml:space="preserve"> i.v, En caso de no responder se continuará con plan de anuria. Se realizará Ecodoppler de riñón trasplantado para valorar ejes vasculares, índice de resistencia y colecciones perirenales. </w:t>
      </w:r>
    </w:p>
    <w:p w:rsidR="001C51D8" w:rsidRDefault="001C51D8">
      <w:pPr>
        <w:widowControl/>
        <w:suppressAutoHyphens w:val="0"/>
        <w:spacing w:line="276" w:lineRule="auto"/>
        <w:ind w:left="720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Mantenimiento de presión arterial adecuada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: El objetivo es manten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er la presión arterial &gt; 125/75 mmHg, se realizarán cargas de volumen. En caso de sangrado masivo, puede ser necesario además de la reposición hidroelectrolítica y de glóbulos rojos infusión de noradrenalina hasta la reparación quirúrgica. (* Hay que valor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ar que hay pacientes hipotensos crónicos donde el límite de presión arterial será diferente. </w:t>
      </w:r>
    </w:p>
    <w:p w:rsidR="001C51D8" w:rsidRDefault="001C51D8">
      <w:pPr>
        <w:widowControl/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Hipertensión arterial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En caso de PA &gt; 160/90 mmHg se valorará inicio de Amlodipina y eventualmente alfa metil dopa. </w:t>
      </w:r>
    </w:p>
    <w:p w:rsidR="001C51D8" w:rsidRDefault="001C51D8">
      <w:pPr>
        <w:widowControl/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Permeabilidad de la sonda vesical.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La presencia de hematuria macroscópica se avisa a urólogo y se deja lavado vesical continuo. (Lavado de SF 1000 cc cada 4 horas)</w:t>
      </w:r>
    </w:p>
    <w:p w:rsidR="001C51D8" w:rsidRDefault="001C51D8">
      <w:pPr>
        <w:widowControl/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 xml:space="preserve">Shock hipovolémico. 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La presencia de un sangrado activo puede determinar shock hipovolémico, el reconocimiento temprano es esencial. . El sangrado se puede evidenciar por gasto aumentado por el drenaje de la logia y/o distensión abdominal con dolor intenso. Se observa hipotens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ión, taquicardia e hipoperfusión periférica Es vital cohibir el sangrado por lo que se debe avisar al Equipo quirúrgico y concomitantemente iniciar protocolo de resucitación: 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Cristaloides: evitar más de 3 litros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Transfusión de Glóbulos rojos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Plasma 15 ml/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kg 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Crioprecipitados y transfusión de plaquetas eventualmente en conjunto con Medicina Transfusiones. </w:t>
      </w:r>
    </w:p>
    <w:p w:rsidR="001C51D8" w:rsidRDefault="001C51D8">
      <w:pPr>
        <w:widowControl/>
        <w:suppressAutoHyphens w:val="0"/>
        <w:spacing w:line="276" w:lineRule="auto"/>
        <w:ind w:left="1440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 xml:space="preserve">Eco Doppler de riñón trasplantado: 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se realizará eco Doppler a todos los pacientes, en caso de anuria se realizará en forma precoz para despistar complic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>aciones.</w:t>
      </w: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 xml:space="preserve"> </w:t>
      </w: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</w:p>
    <w:p w:rsidR="001C51D8" w:rsidRDefault="003B6F9E">
      <w:pPr>
        <w:widowControl/>
        <w:numPr>
          <w:ilvl w:val="0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Indicaciones post-trasplante día 0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Protección gástrica;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Ranitidina 50 mg i.v cada 8 horas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Analgesia: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Novemina + dorixina 1 ampolla cada8 horas. Si no calma Tramadol 100 mg en 100 cc de SF . De no calmar realizar interconsulta con anestesia. 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Anemia:</w:t>
      </w:r>
      <w:r>
        <w:rPr>
          <w:rFonts w:ascii="Arial Narrow" w:eastAsia="Times New Roman" w:hAnsi="Arial Narrow" w:cs="Arial"/>
          <w:sz w:val="22"/>
          <w:szCs w:val="22"/>
          <w:lang w:val="en-US" w:eastAsia="en-US" w:bidi="ar-SA"/>
        </w:rPr>
        <w:t xml:space="preserve"> en caso de presentar Hemoglobina &lt; 7.5g/dl se realizará transfusión de glóbulos rojos. 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 xml:space="preserve">Valorar inicio de </w:t>
      </w: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>Gluconato de calcio</w:t>
      </w:r>
    </w:p>
    <w:p w:rsidR="001C51D8" w:rsidRDefault="003B6F9E">
      <w:pPr>
        <w:pStyle w:val="Prrafodelista"/>
        <w:numPr>
          <w:ilvl w:val="1"/>
          <w:numId w:val="3"/>
        </w:numPr>
        <w:spacing w:line="240" w:lineRule="auto"/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 xml:space="preserve">No realizar reposición de potasio de rutina, ajustar al ionograma. </w:t>
      </w:r>
    </w:p>
    <w:p w:rsidR="001C51D8" w:rsidRDefault="003B6F9E">
      <w:pPr>
        <w:widowControl/>
        <w:numPr>
          <w:ilvl w:val="1"/>
          <w:numId w:val="3"/>
        </w:numPr>
        <w:suppressAutoHyphens w:val="0"/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n-US" w:eastAsia="en-US" w:bidi="ar-SA"/>
        </w:rPr>
        <w:t xml:space="preserve">Fluidoterapia y/o fármacos antihipertensivos. 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  <w:t xml:space="preserve">Inmunosupresión: </w:t>
      </w:r>
    </w:p>
    <w:p w:rsidR="001C51D8" w:rsidRDefault="003B6F9E">
      <w:pPr>
        <w:widowControl/>
        <w:numPr>
          <w:ilvl w:val="2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s-AR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s-AR" w:eastAsia="en-US" w:bidi="ar-SA"/>
        </w:rPr>
        <w:t xml:space="preserve">Tacrolimus 0.15 a 0.2 mg/kg (dividido 2 dosis), hora 7 y hora 19. </w:t>
      </w:r>
    </w:p>
    <w:p w:rsidR="001C51D8" w:rsidRDefault="003B6F9E">
      <w:pPr>
        <w:widowControl/>
        <w:numPr>
          <w:ilvl w:val="2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s-AR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s-AR" w:eastAsia="en-US" w:bidi="ar-SA"/>
        </w:rPr>
        <w:t xml:space="preserve">2º Bolo de Metilprednisolona 500 mg en 100 cc de SF para día 1 hora 8 AM. </w:t>
      </w:r>
    </w:p>
    <w:p w:rsidR="001C51D8" w:rsidRDefault="003B6F9E">
      <w:pPr>
        <w:widowControl/>
        <w:numPr>
          <w:ilvl w:val="2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s-AR" w:eastAsia="en-US" w:bidi="ar-SA"/>
        </w:rPr>
      </w:pPr>
      <w:r>
        <w:rPr>
          <w:rFonts w:ascii="Arial Narrow" w:eastAsia="Times New Roman" w:hAnsi="Arial Narrow" w:cs="Arial"/>
          <w:sz w:val="22"/>
          <w:szCs w:val="22"/>
          <w:lang w:val="es-AR" w:eastAsia="en-US" w:bidi="ar-SA"/>
        </w:rPr>
        <w:t>Micofenolato mofetilo 1 g vo día 1 hora 8. (de estar con Timoglobulina 500 mg hora 8AM)</w:t>
      </w: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  <w:t>Diabéticos bomba de insulina 100 UI en 100 cc de SF con control horario por HGT + SG al 10% 5</w:t>
      </w:r>
      <w:r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  <w:t>00 cc cada 12 horas</w:t>
      </w:r>
    </w:p>
    <w:tbl>
      <w:tblPr>
        <w:tblStyle w:val="Tablaconcuadrcula"/>
        <w:tblW w:w="7898" w:type="dxa"/>
        <w:tblInd w:w="1435" w:type="dxa"/>
        <w:tblCellMar>
          <w:left w:w="103" w:type="dxa"/>
        </w:tblCellMar>
        <w:tblLook w:val="04A0"/>
      </w:tblPr>
      <w:tblGrid>
        <w:gridCol w:w="2678"/>
        <w:gridCol w:w="2822"/>
        <w:gridCol w:w="2398"/>
      </w:tblGrid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Glicemia capilar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Bomba de infusión continua a dosis estandard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Bomba de infusión continua a dosis aumentada</w:t>
            </w:r>
          </w:p>
        </w:tc>
      </w:tr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&lt; 1g/l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 xml:space="preserve">Suspensión de la bomba 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0</w:t>
            </w:r>
          </w:p>
        </w:tc>
      </w:tr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1-1,5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0.5 ml/h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1</w:t>
            </w:r>
          </w:p>
        </w:tc>
      </w:tr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1-5-2 g/l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1 ml/h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1,5-2</w:t>
            </w:r>
          </w:p>
        </w:tc>
      </w:tr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2-2,5 g/l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1.5 ml/h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2-2,5</w:t>
            </w:r>
          </w:p>
        </w:tc>
      </w:tr>
      <w:tr w:rsidR="001C51D8">
        <w:trPr>
          <w:trHeight w:val="58"/>
        </w:trPr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2,5-3 g/l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2 ml/h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2,5-3</w:t>
            </w:r>
          </w:p>
        </w:tc>
      </w:tr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3-3,5 g/l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2,5 ml/h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3-3,5</w:t>
            </w:r>
          </w:p>
        </w:tc>
      </w:tr>
      <w:tr w:rsidR="001C51D8">
        <w:tc>
          <w:tcPr>
            <w:tcW w:w="267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rPr>
                <w:rFonts w:ascii="Arial Narrow" w:eastAsia="Times New Roman" w:hAnsi="Arial Narrow" w:cs="Arial"/>
                <w:b/>
                <w:bCs/>
                <w:lang w:val="es-AR"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AR" w:eastAsia="en-US"/>
              </w:rPr>
              <w:t>&gt; 4 g/l</w:t>
            </w:r>
          </w:p>
        </w:tc>
        <w:tc>
          <w:tcPr>
            <w:tcW w:w="2822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3</w:t>
            </w:r>
          </w:p>
        </w:tc>
        <w:tc>
          <w:tcPr>
            <w:tcW w:w="2398" w:type="dxa"/>
            <w:shd w:val="clear" w:color="auto" w:fill="auto"/>
            <w:tcMar>
              <w:left w:w="103" w:type="dxa"/>
            </w:tcMar>
          </w:tcPr>
          <w:p w:rsidR="001C51D8" w:rsidRDefault="003B6F9E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val="es-AR" w:eastAsia="en-US" w:bidi="ar-SA"/>
              </w:rPr>
              <w:t>3,5-4</w:t>
            </w:r>
          </w:p>
        </w:tc>
      </w:tr>
    </w:tbl>
    <w:p w:rsidR="001C51D8" w:rsidRDefault="001C51D8">
      <w:pPr>
        <w:widowControl/>
        <w:suppressAutoHyphens w:val="0"/>
        <w:spacing w:line="276" w:lineRule="auto"/>
        <w:ind w:left="1440"/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</w:pPr>
    </w:p>
    <w:p w:rsidR="001C51D8" w:rsidRDefault="001C51D8">
      <w:pPr>
        <w:widowControl/>
        <w:suppressAutoHyphens w:val="0"/>
        <w:spacing w:line="276" w:lineRule="auto"/>
        <w:ind w:left="1440"/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</w:pPr>
    </w:p>
    <w:p w:rsidR="001C51D8" w:rsidRDefault="003B6F9E">
      <w:pPr>
        <w:widowControl/>
        <w:numPr>
          <w:ilvl w:val="1"/>
          <w:numId w:val="3"/>
        </w:numPr>
        <w:suppressAutoHyphens w:val="0"/>
        <w:spacing w:line="276" w:lineRule="auto"/>
        <w:rPr>
          <w:rFonts w:ascii="Arial Narrow" w:eastAsia="Times New Roman" w:hAnsi="Arial Narrow" w:cs="Arial"/>
          <w:sz w:val="22"/>
          <w:szCs w:val="22"/>
          <w:lang w:val="es-AR" w:eastAsia="en-US" w:bidi="ar-SA"/>
        </w:rPr>
      </w:pPr>
      <w:r>
        <w:rPr>
          <w:rFonts w:ascii="Arial Narrow" w:eastAsia="Times New Roman" w:hAnsi="Arial Narrow" w:cs="Arial"/>
          <w:b/>
          <w:bCs/>
          <w:sz w:val="22"/>
          <w:szCs w:val="22"/>
          <w:lang w:val="es-AR" w:eastAsia="en-US" w:bidi="ar-SA"/>
        </w:rPr>
        <w:t xml:space="preserve">Valorara inicio de medicación habitual: </w:t>
      </w:r>
      <w:r>
        <w:rPr>
          <w:rFonts w:ascii="Arial Narrow" w:eastAsia="Times New Roman" w:hAnsi="Arial Narrow" w:cs="Arial"/>
          <w:sz w:val="22"/>
          <w:szCs w:val="22"/>
          <w:lang w:val="es-AR" w:eastAsia="en-US" w:bidi="ar-SA"/>
        </w:rPr>
        <w:t xml:space="preserve">T4, betabloqueantes, antidepresivos. </w:t>
      </w:r>
    </w:p>
    <w:p w:rsidR="001C51D8" w:rsidRDefault="003B6F9E">
      <w:pPr>
        <w:spacing w:after="240" w:line="276" w:lineRule="auto"/>
        <w:jc w:val="both"/>
        <w:rPr>
          <w:rFonts w:ascii="Arial Narrow" w:hAnsi="Arial Narrow" w:cs="Arial"/>
          <w:sz w:val="22"/>
          <w:szCs w:val="22"/>
          <w:lang w:val="es-AR"/>
        </w:rPr>
      </w:pPr>
      <w:r>
        <w:rPr>
          <w:noProof/>
          <w:lang w:val="es-ES" w:eastAsia="es-ES" w:bidi="ar-SA"/>
        </w:rPr>
        <w:lastRenderedPageBreak/>
        <w:drawing>
          <wp:inline distT="0" distB="0" distL="0" distR="0">
            <wp:extent cx="5476240" cy="7910195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79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2" w:type="dxa"/>
        <w:tblInd w:w="6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1178"/>
        <w:gridCol w:w="1798"/>
        <w:gridCol w:w="3846"/>
        <w:gridCol w:w="2810"/>
      </w:tblGrid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>Nombre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José Santiago-Rossana Astesiano-Verónica Miranda- Paula Parnizzari- Mariana Seija  </w:t>
            </w:r>
          </w:p>
        </w:tc>
        <w:tc>
          <w:tcPr>
            <w:tcW w:w="384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CCCCCC"/>
            <w:tcMar>
              <w:left w:w="56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53" w:type="dxa"/>
            </w:tcMar>
          </w:tcPr>
          <w:p w:rsidR="001C51D8" w:rsidRDefault="003B6F9E">
            <w:pPr>
              <w:pStyle w:val="Contenidodelatabla"/>
              <w:snapToGrid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>Marcelo Nin</w:t>
            </w:r>
          </w:p>
        </w:tc>
      </w:tr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Cargo 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Nefrólogo R </w:t>
            </w:r>
            <w:r>
              <w:rPr>
                <w:rFonts w:ascii="Arial Narrow" w:hAnsi="Arial Narrow" w:cs="Arial Narrow"/>
                <w:sz w:val="18"/>
                <w:szCs w:val="18"/>
              </w:rPr>
              <w:t>Trasplante- Nefrólogo R Trasplante-Grado 3</w:t>
            </w:r>
          </w:p>
        </w:tc>
        <w:tc>
          <w:tcPr>
            <w:tcW w:w="3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snapToGrid w:val="0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>Grado 4</w:t>
            </w:r>
          </w:p>
        </w:tc>
      </w:tr>
      <w:tr w:rsidR="001C51D8"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3B6F9E">
            <w:pPr>
              <w:pStyle w:val="Contenidodelatabla"/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Firma 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C51D8" w:rsidRDefault="001C51D8">
            <w:pPr>
              <w:pStyle w:val="Contenidodelatabla"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C51D8" w:rsidRDefault="001C51D8"/>
    <w:p w:rsidR="001C51D8" w:rsidRDefault="001C51D8"/>
    <w:sectPr w:rsidR="001C51D8" w:rsidSect="001C51D8">
      <w:headerReference w:type="even" r:id="rId9"/>
      <w:headerReference w:type="default" r:id="rId10"/>
      <w:footerReference w:type="even" r:id="rId11"/>
      <w:footerReference w:type="default" r:id="rId12"/>
      <w:pgSz w:w="11906" w:h="16817"/>
      <w:pgMar w:top="3226" w:right="1134" w:bottom="1134" w:left="1418" w:header="941" w:footer="720" w:gutter="0"/>
      <w:cols w:space="708"/>
      <w:formProt w:val="0"/>
      <w:docGrid w:linePitch="60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9E" w:rsidRDefault="003B6F9E" w:rsidP="001C51D8">
      <w:r>
        <w:separator/>
      </w:r>
    </w:p>
  </w:endnote>
  <w:endnote w:type="continuationSeparator" w:id="0">
    <w:p w:rsidR="003B6F9E" w:rsidRDefault="003B6F9E" w:rsidP="001C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ecili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Narrow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D8" w:rsidRDefault="001C5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D8" w:rsidRDefault="001C5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9E" w:rsidRDefault="003B6F9E" w:rsidP="001C51D8">
      <w:r>
        <w:separator/>
      </w:r>
    </w:p>
  </w:footnote>
  <w:footnote w:type="continuationSeparator" w:id="0">
    <w:p w:rsidR="003B6F9E" w:rsidRDefault="003B6F9E" w:rsidP="001C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D8" w:rsidRDefault="001C51D8">
    <w:pPr>
      <w:pStyle w:val="Header"/>
    </w:pPr>
  </w:p>
  <w:tbl>
    <w:tblPr>
      <w:tblW w:w="9642" w:type="dxa"/>
      <w:tblInd w:w="53" w:type="dxa"/>
      <w:tblBorders>
        <w:top w:val="single" w:sz="2" w:space="0" w:color="000001"/>
        <w:left w:val="single" w:sz="2" w:space="0" w:color="000001"/>
        <w:bottom w:val="single" w:sz="2" w:space="0" w:color="000001"/>
        <w:insideH w:val="single" w:sz="2" w:space="0" w:color="000001"/>
      </w:tblBorders>
      <w:tblCellMar>
        <w:top w:w="55" w:type="dxa"/>
        <w:left w:w="51" w:type="dxa"/>
        <w:bottom w:w="55" w:type="dxa"/>
        <w:right w:w="55" w:type="dxa"/>
      </w:tblCellMar>
      <w:tblLook w:val="0000"/>
    </w:tblPr>
    <w:tblGrid>
      <w:gridCol w:w="1402"/>
      <w:gridCol w:w="5978"/>
      <w:gridCol w:w="2262"/>
    </w:tblGrid>
    <w:tr w:rsidR="001C51D8">
      <w:trPr>
        <w:trHeight w:val="505"/>
      </w:trPr>
      <w:tc>
        <w:tcPr>
          <w:tcW w:w="140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pStyle w:val="Contenidodelatabla"/>
            <w:snapToGrid w:val="0"/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72390</wp:posOffset>
                </wp:positionV>
                <wp:extent cx="470535" cy="45339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8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tabs>
              <w:tab w:val="left" w:pos="1545"/>
            </w:tabs>
            <w:jc w:val="both"/>
            <w:rPr>
              <w:rFonts w:ascii="Arial Narrow" w:eastAsia="ArialNarrow-Bold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Narrow-Bold" w:hAnsi="Arial Narrow" w:cs="Arial Narrow"/>
              <w:color w:val="000000"/>
              <w:sz w:val="18"/>
              <w:szCs w:val="18"/>
            </w:rPr>
            <w:t xml:space="preserve">Centro de Nefrología Hospital Clínicas – UDELAR </w:t>
          </w:r>
        </w:p>
        <w:p w:rsidR="001C51D8" w:rsidRDefault="003B6F9E">
          <w:pPr>
            <w:tabs>
              <w:tab w:val="left" w:pos="1545"/>
            </w:tabs>
            <w:jc w:val="both"/>
            <w:rPr>
              <w:rFonts w:ascii="Arial Narrow" w:hAnsi="Arial Narrow" w:cs="Arial Narrow"/>
              <w:b/>
              <w:sz w:val="18"/>
              <w:szCs w:val="18"/>
            </w:rPr>
          </w:pPr>
          <w:r>
            <w:rPr>
              <w:rFonts w:ascii="Arial Narrow" w:eastAsia="ArialNarrow-Bold" w:hAnsi="Arial Narrow" w:cs="Arial Narrow"/>
              <w:color w:val="000000"/>
              <w:sz w:val="18"/>
              <w:szCs w:val="18"/>
            </w:rPr>
            <w:t xml:space="preserve">IMAE – Trasplante renal </w:t>
          </w:r>
        </w:p>
      </w:tc>
      <w:tc>
        <w:tcPr>
          <w:tcW w:w="226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1C51D8">
          <w:pPr>
            <w:spacing w:line="360" w:lineRule="auto"/>
            <w:jc w:val="both"/>
            <w:rPr>
              <w:rFonts w:ascii="Arial Narrow" w:hAnsi="Arial Narrow" w:cs="Arial Narrow"/>
              <w:b/>
              <w:sz w:val="18"/>
              <w:szCs w:val="18"/>
            </w:rPr>
          </w:pPr>
        </w:p>
      </w:tc>
    </w:tr>
    <w:tr w:rsidR="001C51D8">
      <w:trPr>
        <w:trHeight w:val="505"/>
      </w:trPr>
      <w:tc>
        <w:tcPr>
          <w:tcW w:w="140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1C51D8">
          <w:pPr>
            <w:pStyle w:val="Contenidodelatabla"/>
            <w:numPr>
              <w:ilvl w:val="0"/>
              <w:numId w:val="2"/>
            </w:numPr>
            <w:snapToGrid w:val="0"/>
          </w:pPr>
        </w:p>
      </w:tc>
      <w:tc>
        <w:tcPr>
          <w:tcW w:w="5978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pStyle w:val="Contenidodelatabla"/>
            <w:jc w:val="center"/>
          </w:pPr>
          <w:r>
            <w:t xml:space="preserve">MANEJO PERIOPERATORIO DE RECEPTOR DE TRASPLANTE RENAL </w:t>
          </w:r>
        </w:p>
      </w:tc>
      <w:tc>
        <w:tcPr>
          <w:tcW w:w="226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1C51D8">
          <w:pPr>
            <w:pStyle w:val="Contenidodelatabla"/>
            <w:numPr>
              <w:ilvl w:val="0"/>
              <w:numId w:val="2"/>
            </w:numPr>
            <w:snapToGrid w:val="0"/>
          </w:pPr>
        </w:p>
      </w:tc>
    </w:tr>
  </w:tbl>
  <w:p w:rsidR="001C51D8" w:rsidRDefault="001C51D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D8" w:rsidRDefault="001C51D8">
    <w:pPr>
      <w:pStyle w:val="Header"/>
    </w:pPr>
  </w:p>
  <w:tbl>
    <w:tblPr>
      <w:tblW w:w="10002" w:type="dxa"/>
      <w:tblInd w:w="53" w:type="dxa"/>
      <w:tblBorders>
        <w:top w:val="single" w:sz="2" w:space="0" w:color="000001"/>
        <w:left w:val="single" w:sz="2" w:space="0" w:color="000001"/>
        <w:bottom w:val="single" w:sz="2" w:space="0" w:color="000001"/>
        <w:insideH w:val="single" w:sz="2" w:space="0" w:color="000001"/>
      </w:tblBorders>
      <w:tblCellMar>
        <w:top w:w="55" w:type="dxa"/>
        <w:left w:w="51" w:type="dxa"/>
        <w:bottom w:w="55" w:type="dxa"/>
        <w:right w:w="55" w:type="dxa"/>
      </w:tblCellMar>
      <w:tblLook w:val="0000"/>
    </w:tblPr>
    <w:tblGrid>
      <w:gridCol w:w="1361"/>
      <w:gridCol w:w="5688"/>
      <w:gridCol w:w="2133"/>
      <w:gridCol w:w="820"/>
    </w:tblGrid>
    <w:tr w:rsidR="001C51D8">
      <w:trPr>
        <w:trHeight w:val="505"/>
      </w:trPr>
      <w:tc>
        <w:tcPr>
          <w:tcW w:w="1404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pStyle w:val="Contenidodelatabla"/>
            <w:snapToGrid w:val="0"/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634365</wp:posOffset>
                </wp:positionV>
                <wp:extent cx="470535" cy="453390"/>
                <wp:effectExtent l="0" t="0" r="0" b="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8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tabs>
              <w:tab w:val="left" w:pos="1545"/>
            </w:tabs>
            <w:jc w:val="center"/>
            <w:rPr>
              <w:rFonts w:ascii="Arial Narrow" w:eastAsia="ArialNarrow-Bold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Narrow-Bold" w:hAnsi="Arial Narrow" w:cs="Arial Narrow"/>
              <w:color w:val="000000"/>
              <w:sz w:val="18"/>
              <w:szCs w:val="18"/>
            </w:rPr>
            <w:t>Centro de Nefrología Hospital Clínicas – UDELAR</w:t>
          </w:r>
        </w:p>
        <w:p w:rsidR="001C51D8" w:rsidRDefault="003B6F9E">
          <w:pPr>
            <w:tabs>
              <w:tab w:val="left" w:pos="1545"/>
            </w:tabs>
            <w:jc w:val="center"/>
            <w:rPr>
              <w:rFonts w:ascii="Arial Narrow" w:hAnsi="Arial Narrow" w:cs="Arial Narrow"/>
              <w:b/>
              <w:sz w:val="18"/>
              <w:szCs w:val="18"/>
            </w:rPr>
          </w:pPr>
          <w:r>
            <w:rPr>
              <w:rFonts w:ascii="Arial Narrow" w:eastAsia="ArialNarrow-Bold" w:hAnsi="Arial Narrow" w:cs="Arial Narrow"/>
              <w:color w:val="000000"/>
              <w:sz w:val="18"/>
              <w:szCs w:val="18"/>
            </w:rPr>
            <w:t>IMAE – Trasplante renal</w:t>
          </w:r>
        </w:p>
      </w:tc>
      <w:tc>
        <w:tcPr>
          <w:tcW w:w="2259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spacing w:line="360" w:lineRule="auto"/>
            <w:jc w:val="both"/>
            <w:rPr>
              <w:rFonts w:ascii="Arial Narrow" w:hAnsi="Arial Narrow" w:cs="Arial Narrow"/>
              <w:b/>
              <w:sz w:val="18"/>
              <w:szCs w:val="18"/>
            </w:rPr>
          </w:pPr>
          <w:r>
            <w:rPr>
              <w:rFonts w:ascii="Arial Narrow" w:hAnsi="Arial Narrow" w:cs="Arial Narrow"/>
              <w:b/>
              <w:sz w:val="18"/>
              <w:szCs w:val="18"/>
            </w:rPr>
            <w:t>Página 1 de 3</w:t>
          </w:r>
        </w:p>
      </w:tc>
      <w:tc>
        <w:tcPr>
          <w:tcW w:w="360" w:type="dxa"/>
          <w:tcBorders>
            <w:top w:val="single" w:sz="2" w:space="0" w:color="000001"/>
            <w:bottom w:val="single" w:sz="2" w:space="0" w:color="000001"/>
          </w:tcBorders>
          <w:shd w:val="clear" w:color="auto" w:fill="auto"/>
          <w:tcMar>
            <w:left w:w="56" w:type="dxa"/>
          </w:tcMar>
        </w:tcPr>
        <w:p w:rsidR="001C51D8" w:rsidRDefault="001C51D8"/>
      </w:tc>
    </w:tr>
    <w:tr w:rsidR="001C51D8">
      <w:trPr>
        <w:trHeight w:val="505"/>
      </w:trPr>
      <w:tc>
        <w:tcPr>
          <w:tcW w:w="140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1C51D8">
          <w:pPr>
            <w:pStyle w:val="Contenidodelatabla"/>
            <w:numPr>
              <w:ilvl w:val="0"/>
              <w:numId w:val="2"/>
            </w:numPr>
            <w:snapToGrid w:val="0"/>
          </w:pPr>
        </w:p>
      </w:tc>
      <w:tc>
        <w:tcPr>
          <w:tcW w:w="5978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3B6F9E">
          <w:pPr>
            <w:pStyle w:val="Contenidodelatabla"/>
            <w:jc w:val="center"/>
          </w:pPr>
          <w:r>
            <w:t xml:space="preserve">MANEJO PERIOPERATORIO DE RECEPTOR DE TRASPLANTE RENAL </w:t>
          </w:r>
        </w:p>
      </w:tc>
      <w:tc>
        <w:tcPr>
          <w:tcW w:w="2259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left w:w="51" w:type="dxa"/>
          </w:tcMar>
        </w:tcPr>
        <w:p w:rsidR="001C51D8" w:rsidRDefault="001C51D8">
          <w:pPr>
            <w:pStyle w:val="Contenidodelatabla"/>
            <w:numPr>
              <w:ilvl w:val="0"/>
              <w:numId w:val="2"/>
            </w:numPr>
            <w:snapToGrid w:val="0"/>
          </w:pPr>
        </w:p>
      </w:tc>
      <w:tc>
        <w:tcPr>
          <w:tcW w:w="360" w:type="dxa"/>
          <w:tcBorders>
            <w:top w:val="single" w:sz="2" w:space="0" w:color="000001"/>
            <w:bottom w:val="single" w:sz="2" w:space="0" w:color="000001"/>
          </w:tcBorders>
          <w:shd w:val="clear" w:color="auto" w:fill="auto"/>
          <w:tcMar>
            <w:left w:w="56" w:type="dxa"/>
          </w:tcMar>
        </w:tcPr>
        <w:p w:rsidR="001C51D8" w:rsidRDefault="003B6F9E">
          <w:pPr>
            <w:widowControl/>
            <w:suppressAutoHyphens w:val="0"/>
          </w:pPr>
          <w:r>
            <w:tab/>
          </w:r>
          <w:r>
            <w:tab/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8A2"/>
    <w:multiLevelType w:val="multilevel"/>
    <w:tmpl w:val="CA8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0"/>
        <w:lang w:val="es-UY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230417"/>
    <w:multiLevelType w:val="multilevel"/>
    <w:tmpl w:val="255EC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09081D"/>
    <w:multiLevelType w:val="multilevel"/>
    <w:tmpl w:val="309E9A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D8"/>
    <w:rsid w:val="001C51D8"/>
    <w:rsid w:val="003B6F9E"/>
    <w:rsid w:val="00DE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C51D8"/>
    <w:pPr>
      <w:widowControl w:val="0"/>
      <w:suppressAutoHyphens/>
    </w:pPr>
    <w:rPr>
      <w:rFonts w:eastAsia="Arial Unicode MS" w:cs="Arial Unicode MS"/>
      <w:color w:val="00000A"/>
      <w:sz w:val="24"/>
      <w:szCs w:val="24"/>
      <w:lang w:val="es-U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uiPriority w:val="9"/>
    <w:qFormat/>
    <w:rsid w:val="007B5C0E"/>
    <w:pPr>
      <w:keepNext/>
      <w:widowControl/>
      <w:numPr>
        <w:numId w:val="1"/>
      </w:numPr>
      <w:suppressAutoHyphens w:val="0"/>
      <w:spacing w:before="240" w:after="60" w:line="276" w:lineRule="auto"/>
      <w:outlineLvl w:val="0"/>
    </w:pPr>
    <w:rPr>
      <w:rFonts w:ascii="Calibri" w:eastAsia="Times New Roman" w:hAnsi="Calibri" w:cs="Times New Roman"/>
      <w:b/>
      <w:bCs/>
      <w:sz w:val="28"/>
      <w:szCs w:val="28"/>
      <w:lang w:val="es-ES" w:eastAsia="es-ES" w:bidi="ar-SA"/>
    </w:rPr>
  </w:style>
  <w:style w:type="paragraph" w:customStyle="1" w:styleId="Heading2">
    <w:name w:val="Heading 2"/>
    <w:basedOn w:val="Normal"/>
    <w:next w:val="Normal"/>
    <w:link w:val="Ttulo2Car"/>
    <w:uiPriority w:val="9"/>
    <w:qFormat/>
    <w:rsid w:val="007B5C0E"/>
    <w:pPr>
      <w:keepNext/>
      <w:widowControl/>
      <w:numPr>
        <w:ilvl w:val="1"/>
        <w:numId w:val="1"/>
      </w:numPr>
      <w:suppressAutoHyphens w:val="0"/>
      <w:spacing w:before="240" w:after="60" w:line="276" w:lineRule="auto"/>
      <w:outlineLvl w:val="1"/>
    </w:pPr>
    <w:rPr>
      <w:rFonts w:ascii="Calibri" w:eastAsia="Times New Roman" w:hAnsi="Calibri" w:cs="Times New Roman"/>
      <w:b/>
      <w:bCs/>
      <w:iCs/>
      <w:sz w:val="28"/>
      <w:szCs w:val="28"/>
      <w:lang w:val="es-ES" w:eastAsia="es-ES" w:bidi="ar-SA"/>
    </w:rPr>
  </w:style>
  <w:style w:type="paragraph" w:customStyle="1" w:styleId="Heading3">
    <w:name w:val="Heading 3"/>
    <w:basedOn w:val="Normal"/>
    <w:next w:val="Normal"/>
    <w:link w:val="Ttulo3Car"/>
    <w:uiPriority w:val="9"/>
    <w:qFormat/>
    <w:rsid w:val="007B5C0E"/>
    <w:pPr>
      <w:keepNext/>
      <w:widowControl/>
      <w:numPr>
        <w:ilvl w:val="2"/>
        <w:numId w:val="1"/>
      </w:numPr>
      <w:suppressAutoHyphens w:val="0"/>
      <w:spacing w:before="240" w:after="60" w:line="276" w:lineRule="auto"/>
      <w:outlineLvl w:val="2"/>
    </w:pPr>
    <w:rPr>
      <w:rFonts w:ascii="Calibri" w:eastAsia="Times New Roman" w:hAnsi="Calibri" w:cs="Times New Roman"/>
      <w:b/>
      <w:bCs/>
      <w:sz w:val="28"/>
      <w:szCs w:val="26"/>
      <w:lang w:val="es-ES" w:eastAsia="es-ES" w:bidi="ar-SA"/>
    </w:rPr>
  </w:style>
  <w:style w:type="paragraph" w:customStyle="1" w:styleId="Heading4">
    <w:name w:val="Heading 4"/>
    <w:basedOn w:val="Normal"/>
    <w:next w:val="Normal"/>
    <w:link w:val="Ttulo4Car"/>
    <w:uiPriority w:val="9"/>
    <w:qFormat/>
    <w:rsid w:val="007B5C0E"/>
    <w:pPr>
      <w:keepNext/>
      <w:widowControl/>
      <w:numPr>
        <w:ilvl w:val="3"/>
        <w:numId w:val="1"/>
      </w:numPr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 w:bidi="ar-SA"/>
    </w:rPr>
  </w:style>
  <w:style w:type="paragraph" w:customStyle="1" w:styleId="Heading5">
    <w:name w:val="Heading 5"/>
    <w:basedOn w:val="Normal"/>
    <w:next w:val="Normal"/>
    <w:link w:val="Ttulo5Car"/>
    <w:uiPriority w:val="9"/>
    <w:qFormat/>
    <w:rsid w:val="007B5C0E"/>
    <w:pPr>
      <w:widowControl/>
      <w:numPr>
        <w:ilvl w:val="4"/>
        <w:numId w:val="1"/>
      </w:numPr>
      <w:suppressAutoHyphens w:val="0"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 w:bidi="ar-SA"/>
    </w:rPr>
  </w:style>
  <w:style w:type="paragraph" w:customStyle="1" w:styleId="Heading6">
    <w:name w:val="Heading 6"/>
    <w:basedOn w:val="Normal"/>
    <w:next w:val="Normal"/>
    <w:link w:val="Ttulo6Car"/>
    <w:uiPriority w:val="9"/>
    <w:qFormat/>
    <w:rsid w:val="007B5C0E"/>
    <w:pPr>
      <w:widowControl/>
      <w:numPr>
        <w:ilvl w:val="5"/>
        <w:numId w:val="1"/>
      </w:numPr>
      <w:suppressAutoHyphens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szCs w:val="22"/>
      <w:lang w:val="es-ES" w:eastAsia="es-ES" w:bidi="ar-SA"/>
    </w:rPr>
  </w:style>
  <w:style w:type="paragraph" w:customStyle="1" w:styleId="Heading7">
    <w:name w:val="Heading 7"/>
    <w:basedOn w:val="Normal"/>
    <w:next w:val="Normal"/>
    <w:link w:val="Ttulo7Car"/>
    <w:uiPriority w:val="9"/>
    <w:qFormat/>
    <w:rsid w:val="007B5C0E"/>
    <w:pPr>
      <w:widowControl/>
      <w:numPr>
        <w:ilvl w:val="6"/>
        <w:numId w:val="1"/>
      </w:numPr>
      <w:suppressAutoHyphens w:val="0"/>
      <w:spacing w:before="240" w:after="60" w:line="276" w:lineRule="auto"/>
      <w:outlineLvl w:val="6"/>
    </w:pPr>
    <w:rPr>
      <w:rFonts w:ascii="Calibri" w:eastAsia="Times New Roman" w:hAnsi="Calibri" w:cs="Times New Roman"/>
      <w:lang w:val="es-ES" w:eastAsia="es-ES" w:bidi="ar-SA"/>
    </w:rPr>
  </w:style>
  <w:style w:type="paragraph" w:customStyle="1" w:styleId="Heading8">
    <w:name w:val="Heading 8"/>
    <w:basedOn w:val="Normal"/>
    <w:next w:val="Normal"/>
    <w:link w:val="Ttulo8Car"/>
    <w:uiPriority w:val="9"/>
    <w:qFormat/>
    <w:rsid w:val="007B5C0E"/>
    <w:pPr>
      <w:widowControl/>
      <w:numPr>
        <w:ilvl w:val="7"/>
        <w:numId w:val="1"/>
      </w:numPr>
      <w:suppressAutoHyphens w:val="0"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val="es-ES" w:eastAsia="es-ES" w:bidi="ar-SA"/>
    </w:rPr>
  </w:style>
  <w:style w:type="paragraph" w:customStyle="1" w:styleId="Heading9">
    <w:name w:val="Heading 9"/>
    <w:basedOn w:val="Normal"/>
    <w:next w:val="Normal"/>
    <w:link w:val="Ttulo9Car"/>
    <w:uiPriority w:val="9"/>
    <w:qFormat/>
    <w:rsid w:val="007B5C0E"/>
    <w:pPr>
      <w:widowControl/>
      <w:numPr>
        <w:ilvl w:val="8"/>
        <w:numId w:val="1"/>
      </w:numPr>
      <w:suppressAutoHyphens w:val="0"/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val="es-ES" w:eastAsia="es-ES" w:bidi="ar-SA"/>
    </w:rPr>
  </w:style>
  <w:style w:type="character" w:customStyle="1" w:styleId="WW8Num1z0">
    <w:name w:val="WW8Num1z0"/>
    <w:qFormat/>
    <w:rsid w:val="001C51D8"/>
    <w:rPr>
      <w:lang w:val="es-UY"/>
    </w:rPr>
  </w:style>
  <w:style w:type="character" w:customStyle="1" w:styleId="WW8Num1z1">
    <w:name w:val="WW8Num1z1"/>
    <w:qFormat/>
    <w:rsid w:val="001C51D8"/>
  </w:style>
  <w:style w:type="character" w:customStyle="1" w:styleId="WW8Num1z2">
    <w:name w:val="WW8Num1z2"/>
    <w:qFormat/>
    <w:rsid w:val="001C51D8"/>
  </w:style>
  <w:style w:type="character" w:customStyle="1" w:styleId="WW8Num1z3">
    <w:name w:val="WW8Num1z3"/>
    <w:qFormat/>
    <w:rsid w:val="001C51D8"/>
  </w:style>
  <w:style w:type="character" w:customStyle="1" w:styleId="WW8Num1z4">
    <w:name w:val="WW8Num1z4"/>
    <w:qFormat/>
    <w:rsid w:val="001C51D8"/>
  </w:style>
  <w:style w:type="character" w:customStyle="1" w:styleId="WW8Num1z5">
    <w:name w:val="WW8Num1z5"/>
    <w:qFormat/>
    <w:rsid w:val="001C51D8"/>
  </w:style>
  <w:style w:type="character" w:customStyle="1" w:styleId="WW8Num1z6">
    <w:name w:val="WW8Num1z6"/>
    <w:qFormat/>
    <w:rsid w:val="001C51D8"/>
  </w:style>
  <w:style w:type="character" w:customStyle="1" w:styleId="WW8Num1z7">
    <w:name w:val="WW8Num1z7"/>
    <w:qFormat/>
    <w:rsid w:val="001C51D8"/>
  </w:style>
  <w:style w:type="character" w:customStyle="1" w:styleId="WW8Num1z8">
    <w:name w:val="WW8Num1z8"/>
    <w:qFormat/>
    <w:rsid w:val="001C51D8"/>
  </w:style>
  <w:style w:type="character" w:customStyle="1" w:styleId="WW8Num2z0">
    <w:name w:val="WW8Num2z0"/>
    <w:qFormat/>
    <w:rsid w:val="001C51D8"/>
  </w:style>
  <w:style w:type="character" w:customStyle="1" w:styleId="WW8Num2z1">
    <w:name w:val="WW8Num2z1"/>
    <w:qFormat/>
    <w:rsid w:val="001C51D8"/>
  </w:style>
  <w:style w:type="character" w:customStyle="1" w:styleId="WW8Num2z2">
    <w:name w:val="WW8Num2z2"/>
    <w:qFormat/>
    <w:rsid w:val="001C51D8"/>
  </w:style>
  <w:style w:type="character" w:customStyle="1" w:styleId="WW8Num2z3">
    <w:name w:val="WW8Num2z3"/>
    <w:qFormat/>
    <w:rsid w:val="001C51D8"/>
  </w:style>
  <w:style w:type="character" w:customStyle="1" w:styleId="WW8Num2z4">
    <w:name w:val="WW8Num2z4"/>
    <w:qFormat/>
    <w:rsid w:val="001C51D8"/>
  </w:style>
  <w:style w:type="character" w:customStyle="1" w:styleId="WW8Num2z5">
    <w:name w:val="WW8Num2z5"/>
    <w:qFormat/>
    <w:rsid w:val="001C51D8"/>
  </w:style>
  <w:style w:type="character" w:customStyle="1" w:styleId="WW8Num2z6">
    <w:name w:val="WW8Num2z6"/>
    <w:qFormat/>
    <w:rsid w:val="001C51D8"/>
  </w:style>
  <w:style w:type="character" w:customStyle="1" w:styleId="WW8Num2z7">
    <w:name w:val="WW8Num2z7"/>
    <w:qFormat/>
    <w:rsid w:val="001C51D8"/>
  </w:style>
  <w:style w:type="character" w:customStyle="1" w:styleId="WW8Num2z8">
    <w:name w:val="WW8Num2z8"/>
    <w:qFormat/>
    <w:rsid w:val="001C51D8"/>
  </w:style>
  <w:style w:type="character" w:customStyle="1" w:styleId="Smbolosdenumeracin">
    <w:name w:val="Símbolos de numeración"/>
    <w:qFormat/>
    <w:rsid w:val="001C51D8"/>
  </w:style>
  <w:style w:type="character" w:customStyle="1" w:styleId="EnlacedeInternet">
    <w:name w:val="Enlace de Internet"/>
    <w:rsid w:val="001C51D8"/>
    <w:rPr>
      <w:color w:val="000080"/>
      <w:u w:val="single"/>
    </w:rPr>
  </w:style>
  <w:style w:type="character" w:customStyle="1" w:styleId="WW8Num8z0">
    <w:name w:val="WW8Num8z0"/>
    <w:qFormat/>
    <w:rsid w:val="001C51D8"/>
    <w:rPr>
      <w:rFonts w:ascii="Symbol" w:hAnsi="Symbol" w:cs="Symbol"/>
      <w:sz w:val="22"/>
      <w:szCs w:val="22"/>
      <w:lang w:val="es-UY"/>
    </w:rPr>
  </w:style>
  <w:style w:type="character" w:customStyle="1" w:styleId="WW8Num8z1">
    <w:name w:val="WW8Num8z1"/>
    <w:qFormat/>
    <w:rsid w:val="001C51D8"/>
    <w:rPr>
      <w:rFonts w:ascii="Courier New" w:hAnsi="Courier New" w:cs="Courier New"/>
    </w:rPr>
  </w:style>
  <w:style w:type="character" w:customStyle="1" w:styleId="WW8Num8z2">
    <w:name w:val="WW8Num8z2"/>
    <w:qFormat/>
    <w:rsid w:val="001C51D8"/>
    <w:rPr>
      <w:rFonts w:ascii="Wingdings" w:hAnsi="Wingdings" w:cs="Wingdings"/>
    </w:rPr>
  </w:style>
  <w:style w:type="character" w:customStyle="1" w:styleId="WW8Num5z0">
    <w:name w:val="WW8Num5z0"/>
    <w:qFormat/>
    <w:rsid w:val="001C51D8"/>
    <w:rPr>
      <w:sz w:val="22"/>
      <w:szCs w:val="22"/>
      <w:lang w:val="en-US"/>
    </w:rPr>
  </w:style>
  <w:style w:type="character" w:customStyle="1" w:styleId="WW8Num5z1">
    <w:name w:val="WW8Num5z1"/>
    <w:qFormat/>
    <w:rsid w:val="001C51D8"/>
  </w:style>
  <w:style w:type="character" w:customStyle="1" w:styleId="WW8Num5z2">
    <w:name w:val="WW8Num5z2"/>
    <w:qFormat/>
    <w:rsid w:val="001C51D8"/>
  </w:style>
  <w:style w:type="character" w:customStyle="1" w:styleId="WW8Num5z3">
    <w:name w:val="WW8Num5z3"/>
    <w:qFormat/>
    <w:rsid w:val="001C51D8"/>
  </w:style>
  <w:style w:type="character" w:customStyle="1" w:styleId="WW8Num5z4">
    <w:name w:val="WW8Num5z4"/>
    <w:qFormat/>
    <w:rsid w:val="001C51D8"/>
  </w:style>
  <w:style w:type="character" w:customStyle="1" w:styleId="WW8Num5z5">
    <w:name w:val="WW8Num5z5"/>
    <w:qFormat/>
    <w:rsid w:val="001C51D8"/>
  </w:style>
  <w:style w:type="character" w:customStyle="1" w:styleId="WW8Num5z6">
    <w:name w:val="WW8Num5z6"/>
    <w:qFormat/>
    <w:rsid w:val="001C51D8"/>
  </w:style>
  <w:style w:type="character" w:customStyle="1" w:styleId="WW8Num5z7">
    <w:name w:val="WW8Num5z7"/>
    <w:qFormat/>
    <w:rsid w:val="001C51D8"/>
  </w:style>
  <w:style w:type="character" w:customStyle="1" w:styleId="WW8Num5z8">
    <w:name w:val="WW8Num5z8"/>
    <w:qFormat/>
    <w:rsid w:val="001C51D8"/>
  </w:style>
  <w:style w:type="character" w:customStyle="1" w:styleId="Caracteresdenotaalpie">
    <w:name w:val="Caracteres de nota al pie"/>
    <w:qFormat/>
    <w:rsid w:val="001C51D8"/>
  </w:style>
  <w:style w:type="character" w:styleId="Refdenotaalpie">
    <w:name w:val="footnote reference"/>
    <w:qFormat/>
    <w:rsid w:val="001C51D8"/>
    <w:rPr>
      <w:vertAlign w:val="superscript"/>
    </w:rPr>
  </w:style>
  <w:style w:type="character" w:customStyle="1" w:styleId="Ttulo1Car">
    <w:name w:val="Título 1 Car"/>
    <w:link w:val="Heading1"/>
    <w:uiPriority w:val="9"/>
    <w:qFormat/>
    <w:rsid w:val="007B5C0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Heading2"/>
    <w:uiPriority w:val="9"/>
    <w:qFormat/>
    <w:rsid w:val="007B5C0E"/>
    <w:rPr>
      <w:rFonts w:ascii="Calibri" w:hAnsi="Calibri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link w:val="Heading3"/>
    <w:uiPriority w:val="9"/>
    <w:qFormat/>
    <w:rsid w:val="007B5C0E"/>
    <w:rPr>
      <w:rFonts w:ascii="Calibri" w:hAnsi="Calibri"/>
      <w:b/>
      <w:bCs/>
      <w:sz w:val="28"/>
      <w:szCs w:val="26"/>
      <w:lang w:val="es-ES" w:eastAsia="es-ES"/>
    </w:rPr>
  </w:style>
  <w:style w:type="character" w:customStyle="1" w:styleId="Ttulo4Car">
    <w:name w:val="Título 4 Car"/>
    <w:link w:val="Heading4"/>
    <w:uiPriority w:val="9"/>
    <w:qFormat/>
    <w:rsid w:val="007B5C0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Heading5"/>
    <w:uiPriority w:val="9"/>
    <w:qFormat/>
    <w:rsid w:val="007B5C0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Heading6"/>
    <w:uiPriority w:val="9"/>
    <w:qFormat/>
    <w:rsid w:val="007B5C0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Heading7"/>
    <w:uiPriority w:val="9"/>
    <w:qFormat/>
    <w:rsid w:val="007B5C0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Heading8"/>
    <w:uiPriority w:val="9"/>
    <w:qFormat/>
    <w:rsid w:val="007B5C0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Heading9"/>
    <w:uiPriority w:val="9"/>
    <w:qFormat/>
    <w:rsid w:val="007B5C0E"/>
    <w:rPr>
      <w:rFonts w:ascii="Cambria" w:hAnsi="Cambria"/>
      <w:sz w:val="22"/>
      <w:szCs w:val="22"/>
      <w:lang w:val="es-ES" w:eastAsia="es-ES"/>
    </w:rPr>
  </w:style>
  <w:style w:type="character" w:customStyle="1" w:styleId="ListLabel1">
    <w:name w:val="ListLabel 1"/>
    <w:qFormat/>
    <w:rsid w:val="001C51D8"/>
    <w:rPr>
      <w:rFonts w:ascii="Arial Narrow" w:hAnsi="Arial Narrow"/>
      <w:b/>
      <w:sz w:val="20"/>
      <w:lang w:val="es-UY"/>
    </w:rPr>
  </w:style>
  <w:style w:type="character" w:customStyle="1" w:styleId="ListLabel2">
    <w:name w:val="ListLabel 2"/>
    <w:qFormat/>
    <w:rsid w:val="001C51D8"/>
    <w:rPr>
      <w:lang w:val="es-UY"/>
    </w:rPr>
  </w:style>
  <w:style w:type="character" w:customStyle="1" w:styleId="ListLabel3">
    <w:name w:val="ListLabel 3"/>
    <w:qFormat/>
    <w:rsid w:val="001C51D8"/>
    <w:rPr>
      <w:rFonts w:cs="Courier New"/>
    </w:rPr>
  </w:style>
  <w:style w:type="character" w:customStyle="1" w:styleId="ListLabel4">
    <w:name w:val="ListLabel 4"/>
    <w:qFormat/>
    <w:rsid w:val="001C51D8"/>
    <w:rPr>
      <w:rFonts w:cs="Courier New"/>
    </w:rPr>
  </w:style>
  <w:style w:type="character" w:customStyle="1" w:styleId="ListLabel5">
    <w:name w:val="ListLabel 5"/>
    <w:qFormat/>
    <w:rsid w:val="001C51D8"/>
    <w:rPr>
      <w:rFonts w:cs="Courier New"/>
    </w:rPr>
  </w:style>
  <w:style w:type="character" w:customStyle="1" w:styleId="ListLabel6">
    <w:name w:val="ListLabel 6"/>
    <w:qFormat/>
    <w:rsid w:val="001C51D8"/>
    <w:rPr>
      <w:rFonts w:cs="Courier New"/>
    </w:rPr>
  </w:style>
  <w:style w:type="character" w:customStyle="1" w:styleId="ListLabel7">
    <w:name w:val="ListLabel 7"/>
    <w:qFormat/>
    <w:rsid w:val="001C51D8"/>
    <w:rPr>
      <w:rFonts w:cs="Courier New"/>
    </w:rPr>
  </w:style>
  <w:style w:type="character" w:customStyle="1" w:styleId="ListLabel8">
    <w:name w:val="ListLabel 8"/>
    <w:qFormat/>
    <w:rsid w:val="001C51D8"/>
    <w:rPr>
      <w:rFonts w:cs="Courier New"/>
    </w:rPr>
  </w:style>
  <w:style w:type="character" w:customStyle="1" w:styleId="ListLabel9">
    <w:name w:val="ListLabel 9"/>
    <w:qFormat/>
    <w:rsid w:val="001C51D8"/>
    <w:rPr>
      <w:rFonts w:cs="Courier New"/>
    </w:rPr>
  </w:style>
  <w:style w:type="character" w:customStyle="1" w:styleId="ListLabel10">
    <w:name w:val="ListLabel 10"/>
    <w:qFormat/>
    <w:rsid w:val="001C51D8"/>
    <w:rPr>
      <w:rFonts w:cs="Courier New"/>
    </w:rPr>
  </w:style>
  <w:style w:type="character" w:customStyle="1" w:styleId="ListLabel11">
    <w:name w:val="ListLabel 11"/>
    <w:qFormat/>
    <w:rsid w:val="001C51D8"/>
    <w:rPr>
      <w:rFonts w:cs="Courier New"/>
    </w:rPr>
  </w:style>
  <w:style w:type="character" w:customStyle="1" w:styleId="ListLabel12">
    <w:name w:val="ListLabel 12"/>
    <w:qFormat/>
    <w:rsid w:val="001C51D8"/>
    <w:rPr>
      <w:rFonts w:cs="Courier New"/>
    </w:rPr>
  </w:style>
  <w:style w:type="character" w:customStyle="1" w:styleId="ListLabel13">
    <w:name w:val="ListLabel 13"/>
    <w:qFormat/>
    <w:rsid w:val="001C51D8"/>
    <w:rPr>
      <w:rFonts w:cs="Courier New"/>
    </w:rPr>
  </w:style>
  <w:style w:type="character" w:customStyle="1" w:styleId="ListLabel14">
    <w:name w:val="ListLabel 14"/>
    <w:qFormat/>
    <w:rsid w:val="001C51D8"/>
    <w:rPr>
      <w:rFonts w:cs="Courier New"/>
    </w:rPr>
  </w:style>
  <w:style w:type="character" w:customStyle="1" w:styleId="ListLabel15">
    <w:name w:val="ListLabel 15"/>
    <w:qFormat/>
    <w:rsid w:val="001C51D8"/>
    <w:rPr>
      <w:rFonts w:cs="Arial Unicode MS"/>
    </w:rPr>
  </w:style>
  <w:style w:type="character" w:customStyle="1" w:styleId="ListLabel16">
    <w:name w:val="ListLabel 16"/>
    <w:qFormat/>
    <w:rsid w:val="001C51D8"/>
    <w:rPr>
      <w:rFonts w:cs="Courier New"/>
    </w:rPr>
  </w:style>
  <w:style w:type="character" w:customStyle="1" w:styleId="ListLabel17">
    <w:name w:val="ListLabel 17"/>
    <w:qFormat/>
    <w:rsid w:val="001C51D8"/>
    <w:rPr>
      <w:rFonts w:cs="Courier New"/>
    </w:rPr>
  </w:style>
  <w:style w:type="character" w:customStyle="1" w:styleId="ListLabel18">
    <w:name w:val="ListLabel 18"/>
    <w:qFormat/>
    <w:rsid w:val="001C51D8"/>
    <w:rPr>
      <w:rFonts w:cs="Courier New"/>
    </w:rPr>
  </w:style>
  <w:style w:type="character" w:customStyle="1" w:styleId="ListLabel19">
    <w:name w:val="ListLabel 19"/>
    <w:qFormat/>
    <w:rsid w:val="001C51D8"/>
    <w:rPr>
      <w:lang w:val="es-UY"/>
    </w:rPr>
  </w:style>
  <w:style w:type="character" w:customStyle="1" w:styleId="ListLabel20">
    <w:name w:val="ListLabel 20"/>
    <w:qFormat/>
    <w:rsid w:val="001C51D8"/>
    <w:rPr>
      <w:lang w:val="es-UY"/>
    </w:rPr>
  </w:style>
  <w:style w:type="character" w:customStyle="1" w:styleId="ListLabel21">
    <w:name w:val="ListLabel 21"/>
    <w:qFormat/>
    <w:rsid w:val="001C51D8"/>
    <w:rPr>
      <w:lang w:val="es-UY"/>
    </w:rPr>
  </w:style>
  <w:style w:type="character" w:customStyle="1" w:styleId="ListLabel22">
    <w:name w:val="ListLabel 22"/>
    <w:qFormat/>
    <w:rsid w:val="001C51D8"/>
    <w:rPr>
      <w:rFonts w:eastAsia="Arial Unicode MS" w:cs="Arial"/>
    </w:rPr>
  </w:style>
  <w:style w:type="character" w:customStyle="1" w:styleId="ListLabel23">
    <w:name w:val="ListLabel 23"/>
    <w:qFormat/>
    <w:rsid w:val="001C51D8"/>
    <w:rPr>
      <w:rFonts w:cs="Courier New"/>
    </w:rPr>
  </w:style>
  <w:style w:type="character" w:customStyle="1" w:styleId="ListLabel24">
    <w:name w:val="ListLabel 24"/>
    <w:qFormat/>
    <w:rsid w:val="001C51D8"/>
    <w:rPr>
      <w:rFonts w:cs="Courier New"/>
    </w:rPr>
  </w:style>
  <w:style w:type="character" w:customStyle="1" w:styleId="ListLabel25">
    <w:name w:val="ListLabel 25"/>
    <w:qFormat/>
    <w:rsid w:val="001C51D8"/>
    <w:rPr>
      <w:rFonts w:cs="Courier New"/>
    </w:rPr>
  </w:style>
  <w:style w:type="character" w:customStyle="1" w:styleId="ListLabel26">
    <w:name w:val="ListLabel 26"/>
    <w:qFormat/>
    <w:rsid w:val="001C51D8"/>
    <w:rPr>
      <w:rFonts w:eastAsia="Arial Unicode MS" w:cs="Arial"/>
    </w:rPr>
  </w:style>
  <w:style w:type="character" w:customStyle="1" w:styleId="ListLabel27">
    <w:name w:val="ListLabel 27"/>
    <w:qFormat/>
    <w:rsid w:val="001C51D8"/>
    <w:rPr>
      <w:rFonts w:cs="Courier New"/>
    </w:rPr>
  </w:style>
  <w:style w:type="character" w:customStyle="1" w:styleId="ListLabel28">
    <w:name w:val="ListLabel 28"/>
    <w:qFormat/>
    <w:rsid w:val="001C51D8"/>
    <w:rPr>
      <w:rFonts w:cs="Courier New"/>
    </w:rPr>
  </w:style>
  <w:style w:type="character" w:customStyle="1" w:styleId="ListLabel29">
    <w:name w:val="ListLabel 29"/>
    <w:qFormat/>
    <w:rsid w:val="001C51D8"/>
    <w:rPr>
      <w:rFonts w:cs="Courier New"/>
    </w:rPr>
  </w:style>
  <w:style w:type="character" w:customStyle="1" w:styleId="ListLabel30">
    <w:name w:val="ListLabel 30"/>
    <w:qFormat/>
    <w:rsid w:val="001C51D8"/>
    <w:rPr>
      <w:rFonts w:eastAsia="Arial Unicode MS" w:cs="Arial"/>
    </w:rPr>
  </w:style>
  <w:style w:type="character" w:customStyle="1" w:styleId="ListLabel31">
    <w:name w:val="ListLabel 31"/>
    <w:qFormat/>
    <w:rsid w:val="001C51D8"/>
    <w:rPr>
      <w:rFonts w:cs="Courier New"/>
    </w:rPr>
  </w:style>
  <w:style w:type="character" w:customStyle="1" w:styleId="ListLabel32">
    <w:name w:val="ListLabel 32"/>
    <w:qFormat/>
    <w:rsid w:val="001C51D8"/>
    <w:rPr>
      <w:rFonts w:cs="Courier New"/>
    </w:rPr>
  </w:style>
  <w:style w:type="character" w:customStyle="1" w:styleId="ListLabel33">
    <w:name w:val="ListLabel 33"/>
    <w:qFormat/>
    <w:rsid w:val="001C51D8"/>
    <w:rPr>
      <w:rFonts w:cs="Courier New"/>
    </w:rPr>
  </w:style>
  <w:style w:type="character" w:customStyle="1" w:styleId="ListLabel34">
    <w:name w:val="ListLabel 34"/>
    <w:qFormat/>
    <w:rsid w:val="001C51D8"/>
    <w:rPr>
      <w:lang w:val="es-UY"/>
    </w:rPr>
  </w:style>
  <w:style w:type="character" w:customStyle="1" w:styleId="ListLabel35">
    <w:name w:val="ListLabel 35"/>
    <w:qFormat/>
    <w:rsid w:val="001C51D8"/>
    <w:rPr>
      <w:rFonts w:ascii="Arial Narrow" w:hAnsi="Arial Narrow" w:cs="Courier New"/>
      <w:b/>
      <w:sz w:val="22"/>
    </w:rPr>
  </w:style>
  <w:style w:type="character" w:customStyle="1" w:styleId="ListLabel36">
    <w:name w:val="ListLabel 36"/>
    <w:qFormat/>
    <w:rsid w:val="001C51D8"/>
    <w:rPr>
      <w:rFonts w:cs="Courier New"/>
    </w:rPr>
  </w:style>
  <w:style w:type="character" w:customStyle="1" w:styleId="ListLabel37">
    <w:name w:val="ListLabel 37"/>
    <w:qFormat/>
    <w:rsid w:val="001C51D8"/>
    <w:rPr>
      <w:rFonts w:cs="Courier New"/>
    </w:rPr>
  </w:style>
  <w:style w:type="character" w:customStyle="1" w:styleId="ListLabel38">
    <w:name w:val="ListLabel 38"/>
    <w:qFormat/>
    <w:rsid w:val="001C51D8"/>
    <w:rPr>
      <w:rFonts w:cs="Courier New"/>
    </w:rPr>
  </w:style>
  <w:style w:type="character" w:customStyle="1" w:styleId="ListLabel39">
    <w:name w:val="ListLabel 39"/>
    <w:qFormat/>
    <w:rsid w:val="001C51D8"/>
    <w:rPr>
      <w:rFonts w:cs="Courier New"/>
    </w:rPr>
  </w:style>
  <w:style w:type="character" w:customStyle="1" w:styleId="ListLabel40">
    <w:name w:val="ListLabel 40"/>
    <w:qFormat/>
    <w:rsid w:val="001C51D8"/>
    <w:rPr>
      <w:rFonts w:cs="Courier New"/>
    </w:rPr>
  </w:style>
  <w:style w:type="character" w:customStyle="1" w:styleId="ListLabel41">
    <w:name w:val="ListLabel 41"/>
    <w:qFormat/>
    <w:rsid w:val="001C51D8"/>
    <w:rPr>
      <w:rFonts w:eastAsia="Times New Roman" w:cs="Arial"/>
    </w:rPr>
  </w:style>
  <w:style w:type="character" w:customStyle="1" w:styleId="ListLabel42">
    <w:name w:val="ListLabel 42"/>
    <w:qFormat/>
    <w:rsid w:val="001C51D8"/>
    <w:rPr>
      <w:rFonts w:cs="Courier New"/>
    </w:rPr>
  </w:style>
  <w:style w:type="character" w:customStyle="1" w:styleId="ListLabel43">
    <w:name w:val="ListLabel 43"/>
    <w:qFormat/>
    <w:rsid w:val="001C51D8"/>
    <w:rPr>
      <w:rFonts w:cs="Courier New"/>
    </w:rPr>
  </w:style>
  <w:style w:type="character" w:customStyle="1" w:styleId="ListLabel44">
    <w:name w:val="ListLabel 44"/>
    <w:qFormat/>
    <w:rsid w:val="001C51D8"/>
    <w:rPr>
      <w:rFonts w:cs="Courier New"/>
    </w:rPr>
  </w:style>
  <w:style w:type="character" w:customStyle="1" w:styleId="ListLabel45">
    <w:name w:val="ListLabel 45"/>
    <w:qFormat/>
    <w:rsid w:val="001C51D8"/>
    <w:rPr>
      <w:rFonts w:eastAsia="Times New Roman" w:cs="Arial"/>
    </w:rPr>
  </w:style>
  <w:style w:type="character" w:customStyle="1" w:styleId="ListLabel46">
    <w:name w:val="ListLabel 46"/>
    <w:qFormat/>
    <w:rsid w:val="001C51D8"/>
    <w:rPr>
      <w:rFonts w:cs="Courier New"/>
    </w:rPr>
  </w:style>
  <w:style w:type="character" w:customStyle="1" w:styleId="ListLabel47">
    <w:name w:val="ListLabel 47"/>
    <w:qFormat/>
    <w:rsid w:val="001C51D8"/>
    <w:rPr>
      <w:rFonts w:cs="Courier New"/>
    </w:rPr>
  </w:style>
  <w:style w:type="character" w:customStyle="1" w:styleId="ListLabel48">
    <w:name w:val="ListLabel 48"/>
    <w:qFormat/>
    <w:rsid w:val="001C51D8"/>
    <w:rPr>
      <w:rFonts w:cs="Courier New"/>
    </w:rPr>
  </w:style>
  <w:style w:type="character" w:customStyle="1" w:styleId="ListLabel49">
    <w:name w:val="ListLabel 49"/>
    <w:qFormat/>
    <w:rsid w:val="001C51D8"/>
    <w:rPr>
      <w:rFonts w:ascii="Arial Narrow" w:hAnsi="Arial Narrow"/>
      <w:b/>
      <w:sz w:val="20"/>
      <w:lang w:val="es-UY"/>
    </w:rPr>
  </w:style>
  <w:style w:type="character" w:customStyle="1" w:styleId="ListLabel50">
    <w:name w:val="ListLabel 50"/>
    <w:qFormat/>
    <w:rsid w:val="001C51D8"/>
    <w:rPr>
      <w:rFonts w:ascii="Arial Narrow" w:hAnsi="Arial Narrow" w:cs="Symbol"/>
      <w:b/>
      <w:sz w:val="22"/>
    </w:rPr>
  </w:style>
  <w:style w:type="character" w:customStyle="1" w:styleId="ListLabel51">
    <w:name w:val="ListLabel 51"/>
    <w:qFormat/>
    <w:rsid w:val="001C51D8"/>
    <w:rPr>
      <w:rFonts w:ascii="Arial Narrow" w:hAnsi="Arial Narrow" w:cs="Courier New"/>
      <w:b/>
      <w:sz w:val="22"/>
    </w:rPr>
  </w:style>
  <w:style w:type="character" w:customStyle="1" w:styleId="ListLabel52">
    <w:name w:val="ListLabel 52"/>
    <w:qFormat/>
    <w:rsid w:val="001C51D8"/>
    <w:rPr>
      <w:rFonts w:ascii="Arial Narrow" w:hAnsi="Arial Narrow" w:cs="Wingdings"/>
      <w:sz w:val="22"/>
    </w:rPr>
  </w:style>
  <w:style w:type="character" w:customStyle="1" w:styleId="ListLabel53">
    <w:name w:val="ListLabel 53"/>
    <w:qFormat/>
    <w:rsid w:val="001C51D8"/>
    <w:rPr>
      <w:rFonts w:cs="Symbol"/>
    </w:rPr>
  </w:style>
  <w:style w:type="character" w:customStyle="1" w:styleId="ListLabel54">
    <w:name w:val="ListLabel 54"/>
    <w:qFormat/>
    <w:rsid w:val="001C51D8"/>
    <w:rPr>
      <w:rFonts w:cs="Courier New"/>
    </w:rPr>
  </w:style>
  <w:style w:type="character" w:customStyle="1" w:styleId="ListLabel55">
    <w:name w:val="ListLabel 55"/>
    <w:qFormat/>
    <w:rsid w:val="001C51D8"/>
    <w:rPr>
      <w:rFonts w:cs="Wingdings"/>
    </w:rPr>
  </w:style>
  <w:style w:type="character" w:customStyle="1" w:styleId="ListLabel56">
    <w:name w:val="ListLabel 56"/>
    <w:qFormat/>
    <w:rsid w:val="001C51D8"/>
    <w:rPr>
      <w:rFonts w:cs="Symbol"/>
    </w:rPr>
  </w:style>
  <w:style w:type="character" w:customStyle="1" w:styleId="ListLabel57">
    <w:name w:val="ListLabel 57"/>
    <w:qFormat/>
    <w:rsid w:val="001C51D8"/>
    <w:rPr>
      <w:rFonts w:cs="Courier New"/>
    </w:rPr>
  </w:style>
  <w:style w:type="character" w:customStyle="1" w:styleId="ListLabel58">
    <w:name w:val="ListLabel 58"/>
    <w:qFormat/>
    <w:rsid w:val="001C51D8"/>
    <w:rPr>
      <w:rFonts w:cs="Wingdings"/>
    </w:rPr>
  </w:style>
  <w:style w:type="paragraph" w:styleId="Ttulo">
    <w:name w:val="Title"/>
    <w:basedOn w:val="Normal"/>
    <w:next w:val="Textoindependiente"/>
    <w:qFormat/>
    <w:rsid w:val="001C51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1C51D8"/>
    <w:pPr>
      <w:spacing w:after="120"/>
    </w:pPr>
  </w:style>
  <w:style w:type="paragraph" w:styleId="Lista">
    <w:name w:val="List"/>
    <w:basedOn w:val="Textoindependiente"/>
    <w:rsid w:val="001C51D8"/>
  </w:style>
  <w:style w:type="paragraph" w:customStyle="1" w:styleId="Caption">
    <w:name w:val="Caption"/>
    <w:basedOn w:val="Normal"/>
    <w:qFormat/>
    <w:rsid w:val="001C51D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C51D8"/>
    <w:pPr>
      <w:suppressLineNumbers/>
    </w:pPr>
  </w:style>
  <w:style w:type="paragraph" w:customStyle="1" w:styleId="Encabezado1">
    <w:name w:val="Encabezado1"/>
    <w:basedOn w:val="Normal"/>
    <w:qFormat/>
    <w:rsid w:val="001C51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tiqueta">
    <w:name w:val="Etiqueta"/>
    <w:basedOn w:val="Normal"/>
    <w:qFormat/>
    <w:rsid w:val="001C51D8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qFormat/>
    <w:rsid w:val="001C51D8"/>
    <w:pPr>
      <w:suppressLineNumbers/>
    </w:pPr>
  </w:style>
  <w:style w:type="paragraph" w:customStyle="1" w:styleId="Default">
    <w:name w:val="Default"/>
    <w:basedOn w:val="Normal"/>
    <w:qFormat/>
    <w:rsid w:val="001C51D8"/>
    <w:rPr>
      <w:rFonts w:ascii="Caecilia" w:eastAsia="Caecilia" w:hAnsi="Caecilia" w:cs="Caecilia"/>
      <w:color w:val="000000"/>
    </w:rPr>
  </w:style>
  <w:style w:type="paragraph" w:customStyle="1" w:styleId="Encabezadodelatabla">
    <w:name w:val="Encabezado de la tabla"/>
    <w:basedOn w:val="Contenidodelatabla"/>
    <w:qFormat/>
    <w:rsid w:val="001C51D8"/>
    <w:pPr>
      <w:jc w:val="center"/>
    </w:pPr>
    <w:rPr>
      <w:b/>
      <w:bCs/>
    </w:rPr>
  </w:style>
  <w:style w:type="paragraph" w:customStyle="1" w:styleId="Header">
    <w:name w:val="Header"/>
    <w:basedOn w:val="Normal"/>
    <w:rsid w:val="001C51D8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"/>
    <w:rsid w:val="001C51D8"/>
    <w:pPr>
      <w:suppressLineNumbers/>
      <w:tabs>
        <w:tab w:val="center" w:pos="4819"/>
        <w:tab w:val="right" w:pos="9638"/>
      </w:tabs>
    </w:pPr>
  </w:style>
  <w:style w:type="paragraph" w:styleId="Textonotapie">
    <w:name w:val="footnote text"/>
    <w:basedOn w:val="Normal"/>
    <w:qFormat/>
    <w:rsid w:val="001C51D8"/>
    <w:pPr>
      <w:suppressLineNumbers/>
      <w:ind w:left="283" w:hanging="283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D6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tulodelatabla">
    <w:name w:val="Título de la tabla"/>
    <w:basedOn w:val="Contenidodelatabla"/>
    <w:qFormat/>
    <w:rsid w:val="001C51D8"/>
  </w:style>
  <w:style w:type="table" w:styleId="Tablaconcuadrcula">
    <w:name w:val="Table Grid"/>
    <w:basedOn w:val="Tablanormal"/>
    <w:uiPriority w:val="59"/>
    <w:rsid w:val="001F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31"/>
    <w:qFormat/>
    <w:rsid w:val="003822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21"/>
    <w:qFormat/>
    <w:rsid w:val="003822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anormal"/>
    <w:uiPriority w:val="73"/>
    <w:rsid w:val="0038228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">
    <w:name w:val="Plain Table 1"/>
    <w:basedOn w:val="Tablanormal"/>
    <w:uiPriority w:val="72"/>
    <w:rsid w:val="0038228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">
    <w:name w:val="Plain Table 3"/>
    <w:basedOn w:val="Tablanormal"/>
    <w:uiPriority w:val="19"/>
    <w:qFormat/>
    <w:rsid w:val="003822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33"/>
    <w:qFormat/>
    <w:rsid w:val="00202BD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51C439-EC23-464A-949D-6057780C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5412</Characters>
  <Application>Microsoft Office Word</Application>
  <DocSecurity>0</DocSecurity>
  <Lines>45</Lines>
  <Paragraphs>12</Paragraphs>
  <ScaleCrop>false</ScaleCrop>
  <Company>Medicina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Santiago</dc:creator>
  <cp:lastModifiedBy>HC148sec</cp:lastModifiedBy>
  <cp:revision>2</cp:revision>
  <cp:lastPrinted>2020-02-17T12:06:00Z</cp:lastPrinted>
  <dcterms:created xsi:type="dcterms:W3CDTF">2023-04-12T16:42:00Z</dcterms:created>
  <dcterms:modified xsi:type="dcterms:W3CDTF">2023-04-12T16:42:00Z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Medicina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ndeley Citation Style_1">
    <vt:lpwstr>http://www.zotero.org/styles/national-library-of-medicine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Id 8_1">
    <vt:lpwstr>http://www.zotero.org/styles/nature</vt:lpwstr>
  </property>
  <property fmtid="{D5CDD505-2E9C-101B-9397-08002B2CF9AE}" pid="18" name="Mendeley Recent Style Id 9_1">
    <vt:lpwstr>http://www.zotero.org/styles/vancouver</vt:lpwstr>
  </property>
  <property fmtid="{D5CDD505-2E9C-101B-9397-08002B2CF9AE}" pid="19" name="Mendeley Recent Style Name 0_1">
    <vt:lpwstr>American Medical Association</vt:lpwstr>
  </property>
  <property fmtid="{D5CDD505-2E9C-101B-9397-08002B2CF9AE}" pid="20" name="Mendeley Recent Style Name 1_1">
    <vt:lpwstr>American Political Science Association</vt:lpwstr>
  </property>
  <property fmtid="{D5CDD505-2E9C-101B-9397-08002B2CF9AE}" pid="21" name="Mendeley Recent Style Name 2_1">
    <vt:lpwstr>American Psychological Association 6th edition</vt:lpwstr>
  </property>
  <property fmtid="{D5CDD505-2E9C-101B-9397-08002B2CF9AE}" pid="22" name="Mendeley Recent Style Name 3_1">
    <vt:lpwstr>American Sociological Association</vt:lpwstr>
  </property>
  <property fmtid="{D5CDD505-2E9C-101B-9397-08002B2CF9AE}" pid="23" name="Mendeley Recent Style Name 4_1">
    <vt:lpwstr>Harvard reference format 1 (deprecated)</vt:lpwstr>
  </property>
  <property fmtid="{D5CDD505-2E9C-101B-9397-08002B2CF9AE}" pid="24" name="Mendeley Recent Style Name 5_1">
    <vt:lpwstr>IEEE</vt:lpwstr>
  </property>
  <property fmtid="{D5CDD505-2E9C-101B-9397-08002B2CF9AE}" pid="25" name="Mendeley Recent Style Name 6_1">
    <vt:lpwstr>Modern Humanities Research Association 3rd edition (note with bibliography)</vt:lpwstr>
  </property>
  <property fmtid="{D5CDD505-2E9C-101B-9397-08002B2CF9AE}" pid="26" name="Mendeley Recent Style Name 7_1">
    <vt:lpwstr>National Library of Medicine</vt:lpwstr>
  </property>
  <property fmtid="{D5CDD505-2E9C-101B-9397-08002B2CF9AE}" pid="27" name="Mendeley Recent Style Name 8_1">
    <vt:lpwstr>Nature</vt:lpwstr>
  </property>
  <property fmtid="{D5CDD505-2E9C-101B-9397-08002B2CF9AE}" pid="28" name="Mendeley Recent Style Name 9_1">
    <vt:lpwstr>Vancouver</vt:lpwstr>
  </property>
  <property fmtid="{D5CDD505-2E9C-101B-9397-08002B2CF9AE}" pid="29" name="Mendeley Unique User Id_1">
    <vt:lpwstr>c45fae5c-51c0-3a21-a2f3-45ff6411d243</vt:lpwstr>
  </property>
  <property fmtid="{D5CDD505-2E9C-101B-9397-08002B2CF9AE}" pid="30" name="ScaleCrop">
    <vt:bool>false</vt:bool>
  </property>
  <property fmtid="{D5CDD505-2E9C-101B-9397-08002B2CF9AE}" pid="31" name="ShareDoc">
    <vt:bool>false</vt:bool>
  </property>
</Properties>
</file>